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ИФНС России № 5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105064, г. Москва, ул. Земляной Вал, д. 9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Иванова Ивана Ивановича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770512345678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ПОЯСНЕНИЯ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в ответ на требование от 10.02.2026 № 54321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В ответ на требование ИФНС России № 5 по г. Москве от 10.02.2026 № 54321 о предоставлении пояснений в связи с проведением камеральной налоговой проверки декларации 3-НДФЛ за 2024 год сообщаю следующее.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В требовании указано на расхождение между суммой дохода в справке о доходах (форма 2-НДФЛ) от работодателя ООО «Альфа» (850 000 руб.) и суммой дохода, указанной в декларации (780 000 руб.).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Расхождение объясняется следующим: сумма 70 000 руб. является компенсацией расходов на переезд, выплаченной работодателем в соответствии со ст. 169 ТК РФ. Данная компенсация не подлежит обложению НДФЛ на основании п. 1 ст. 217 НК РФ, в связи с чем не была включена в налогооблагаемый доход в декларации.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Копия приказа о переезде от 15.06.2024 — на 1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Копия расходных документов — на 3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14.02.2026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