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УТОЧНЕНИЕ АДМИНИСТРАТИВНЫХ ИСКОВЫХ ТРЕБОВАНИЙ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исходные требования: [указать]</w:t>
      </w:r>
    </w:p>
    <w:p>
      <w:pPr>
        <w:pStyle w:val="ListBullet"/>
      </w:pPr>
      <w:r>
        <w:t>новая редакция: [указать]</w:t>
      </w:r>
    </w:p>
    <w:p>
      <w:pPr>
        <w:pStyle w:val="ListBullet"/>
      </w:pPr>
      <w:r>
        <w:t>причины уточнения: [указать]</w:t>
      </w:r>
    </w:p>
    <w:p>
      <w:pPr>
        <w:pStyle w:val="ListBullet"/>
      </w:pPr>
      <w:r>
        <w:t>правовое обоснование: [указать]</w:t>
      </w:r>
    </w:p>
    <w:p>
      <w:pPr>
        <w:pStyle w:val="ListBullet"/>
      </w:pPr>
      <w:r>
        <w:t>доказательства: [указать]</w:t>
      </w:r>
    </w:p>
    <w:p>
      <w:r>
        <w:t>На основании статьи 46, 124–125 КАС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