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ХОДАТАЙСТВО О ПРИВЛЕЧЕНИИ ЗАИНТЕРЕСОВАННЫХ ЛИЦ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кого привлечь: [указать]</w:t>
      </w:r>
    </w:p>
    <w:p>
      <w:pPr>
        <w:pStyle w:val="ListBullet"/>
      </w:pPr>
      <w:r>
        <w:t>связь со спором: [указать]</w:t>
      </w:r>
    </w:p>
    <w:p>
      <w:pPr>
        <w:pStyle w:val="ListBullet"/>
      </w:pPr>
      <w:r>
        <w:t>какие права затрагиваются: [указать]</w:t>
      </w:r>
    </w:p>
    <w:p>
      <w:pPr>
        <w:pStyle w:val="ListBullet"/>
      </w:pPr>
      <w:r>
        <w:t>какие сведения лицо может дать: [указать]</w:t>
      </w:r>
    </w:p>
    <w:p>
      <w:r>
        <w:t>На основании статьи 47, 48 КАС РФ: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