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ХОДАТАЙСТВО О НАЗНАЧЕНИИ СУДЕБНОЙ ЭКСПЕРТИЗЫ ИЛИ ПРИВЛЕЧЕНИИ СПЕЦИАЛИСТА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вид экспертизы: [указать]</w:t>
      </w:r>
    </w:p>
    <w:p>
      <w:pPr>
        <w:pStyle w:val="ListBullet"/>
      </w:pPr>
      <w:r>
        <w:t>обстоятельства: [указать]</w:t>
      </w:r>
    </w:p>
    <w:p>
      <w:pPr>
        <w:pStyle w:val="ListBullet"/>
      </w:pPr>
      <w:r>
        <w:t>вопросы эксперту: [указать]</w:t>
      </w:r>
    </w:p>
    <w:p>
      <w:pPr>
        <w:pStyle w:val="ListBullet"/>
      </w:pPr>
      <w:r>
        <w:t>кандидатура: [указать]</w:t>
      </w:r>
    </w:p>
    <w:p>
      <w:pPr>
        <w:pStyle w:val="ListBullet"/>
      </w:pPr>
      <w:r>
        <w:t>материалы: [указать]</w:t>
      </w:r>
    </w:p>
    <w:p>
      <w:pPr>
        <w:pStyle w:val="ListBullet"/>
      </w:pPr>
      <w:r>
        <w:t>порядок оплаты: [указать]</w:t>
      </w:r>
    </w:p>
    <w:p>
      <w:r>
        <w:t>На основании статьи 49, 77–84 КАС РФ; статьи 82–87 АПК РФ для ИП: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