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ЧАСТНАЯ ЖАЛОБА НА ОПРЕДЕЛЕНИЕ СУДА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определение: [указать]</w:t>
      </w:r>
    </w:p>
    <w:p>
      <w:pPr>
        <w:pStyle w:val="ListBullet"/>
      </w:pPr>
      <w:r>
        <w:t>почему незаконно: [указать]</w:t>
      </w:r>
    </w:p>
    <w:p>
      <w:pPr>
        <w:pStyle w:val="ListBullet"/>
      </w:pPr>
      <w:r>
        <w:t>какие права нарушены: [указать]</w:t>
      </w:r>
    </w:p>
    <w:p>
      <w:pPr>
        <w:pStyle w:val="ListBullet"/>
      </w:pPr>
      <w:r>
        <w:t>просьба отменить и разрешить вопрос: [указать]</w:t>
      </w:r>
    </w:p>
    <w:p>
      <w:r>
        <w:t>На основании статьи 202, 313–317 КАС РФ: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