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ХОДАТАЙСТВО О ПРИВЛЕЧЕНИИ ЗАИНТЕРЕСОВАННЫХ ЛИЦ</w:t>
      </w:r>
    </w:p>
    <w:p>
      <w:r>
        <w:t>Результат спора зависит от Росреестра, ГИБДД, работодателя-налогового агента, банка, кадастрового органа или другого органа. В связи с изложенным прилагаю: кого привлечь; связь со спором; какие права затрагиваются; какие сведения лицо может дать.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статьи 47, 48 КАС РФ</w:t>
      </w:r>
    </w:p>
    <w:p>
      <w:r>
        <w:t>Прошу: рассмотреть обращение и принять решение в соответствии со статьи 47, 48 КАС РФ.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