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ХОДАТАЙСТВО О НАЗНАЧЕНИИ СУДЕБНОЙ ЭКСПЕРТИЗЫ ИЛИ ПРИВЛЕЧЕНИИ СПЕЦИАЛИСТА</w:t>
      </w:r>
    </w:p>
    <w:p>
      <w:r>
        <w:t>Спор о кадастровых/технических характеристиках, подписи, расчётах, оценке имущества, фактическом состоянии объекта. В связи с изложенным прилагаю: вид экспертизы; обстоятельства; вопросы эксперту; кандидатура; материалы; порядок оплаты.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статьи 49, 77–84 КАС РФ</w:t>
      </w:r>
    </w:p>
    <w:p>
      <w:pPr>
        <w:pStyle w:val="ListBullet"/>
      </w:pPr>
      <w:r>
        <w:t>статьи 82–87 АПК РФ для ИП</w:t>
      </w:r>
    </w:p>
    <w:p>
      <w:r>
        <w:t>Прошу: рассмотреть обращение и принять решение в соответствии со статьи 49, 77–84 КАС РФ; статьи 82–87 АПК РФ для ИП.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