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[Судебная коллегия по административным делам Верховного Суда РФ]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КАССАЦИОННАЯ ЖАЛОБА В ВЕРХОВНЫЙ СУД РФ</w:t>
      </w:r>
    </w:p>
    <w:p>
      <w:r>
        <w:t>Первая кассация не устранила существенные нарушения, а дело допускает обращение в ВС РФ. В связи с изложенным прилагаю: судебные акты всех инстанций; существенные нарушения; доводы о значимости ошибки; просьба передать жалобу для рассмотрения и отменить акты.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статьи 318–330 КАС РФ</w:t>
      </w:r>
    </w:p>
    <w:p>
      <w:r>
        <w:t>Прошу: рассмотреть обращение и принять решение в соответствии со статьи 318–330 КАС РФ.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