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кассационного суда общей юрисдикции]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КАССАЦИОННАЯ ЖАЛОБА В КАССАЦИОННЫЙ СУД ОБЩЕЙ ЮРИСДИКЦИИ</w:t>
      </w:r>
    </w:p>
    <w:p>
      <w:r>
        <w:t>Апелляция не исправила ошибку, есть существенные нарушения материального или процессуального права. В связи с изложенным прилагаю: обжалуемые акты; существенные нарушения; почему они повлияли на исход; просьба отменить/изменить; копии актов.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статьи 318–330 КАС РФ</w:t>
      </w:r>
    </w:p>
    <w:p>
      <w:r>
        <w:t>Прошу: рассмотреть обращение и принять решение в соответствии со статьи 318–330 КАС РФ.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